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0000"/>
        </w:rPr>
      </w:pPr>
      <w:r>
        <w:rPr>
          <w:rFonts w:ascii="Calibri-Bold" w:hAnsi="Calibri-Bold"/>
          <w:b/>
          <w:color w:val="000000"/>
          <w:sz w:val="48"/>
        </w:rPr>
        <w:t>Felújítási hullám</w:t>
      </w:r>
    </w:p>
    <w:p>
      <w:pPr>
        <w:pStyle w:val="Normal"/>
        <w:jc w:val="left"/>
        <w:rPr>
          <w:rFonts w:ascii="Calibri-Bold" w:hAnsi="Calibri-Bold"/>
          <w:b/>
          <w:b/>
          <w:sz w:val="48"/>
        </w:rPr>
      </w:pPr>
      <w:r>
        <w:rPr>
          <w:color w:val="000000"/>
        </w:rPr>
      </w:r>
    </w:p>
    <w:p>
      <w:pPr>
        <w:pStyle w:val="Normal"/>
        <w:jc w:val="left"/>
        <w:rPr>
          <w:color w:val="000000"/>
          <w:sz w:val="24"/>
          <w:szCs w:val="24"/>
        </w:rPr>
      </w:pPr>
      <w:r>
        <w:rPr>
          <w:rFonts w:ascii="Calibri-Bold" w:hAnsi="Calibri-Bold"/>
          <w:b/>
          <w:color w:val="000000"/>
          <w:sz w:val="24"/>
          <w:szCs w:val="24"/>
        </w:rPr>
        <w:t xml:space="preserve">Eugenio Quintieri </w:t>
      </w:r>
      <w:r>
        <w:rPr>
          <w:rFonts w:ascii="Calibri-Bold" w:hAnsi="Calibri-Bold"/>
          <w:b/>
          <w:color w:val="000000"/>
          <w:sz w:val="24"/>
          <w:szCs w:val="24"/>
        </w:rPr>
        <w:t xml:space="preserve">EBC </w:t>
      </w:r>
      <w:r>
        <w:rPr>
          <w:rFonts w:ascii="Calibri-Bold" w:hAnsi="Calibri-Bold"/>
          <w:b/>
          <w:color w:val="000000"/>
          <w:sz w:val="24"/>
          <w:szCs w:val="24"/>
        </w:rPr>
        <w:t xml:space="preserve">Főtitkár </w:t>
      </w:r>
      <w:r>
        <w:rPr>
          <w:rFonts w:ascii="Calibri-Bold" w:hAnsi="Calibri-Bold"/>
          <w:b/>
          <w:color w:val="000000"/>
          <w:sz w:val="24"/>
          <w:szCs w:val="24"/>
        </w:rPr>
        <w:t xml:space="preserve">előadásának kivonata - </w:t>
      </w:r>
      <w:r>
        <w:rPr>
          <w:rFonts w:ascii="Calibri-BoldItalic" w:hAnsi="Calibri-BoldItalic"/>
          <w:b/>
          <w:i/>
          <w:color w:val="000000"/>
          <w:sz w:val="24"/>
          <w:szCs w:val="24"/>
        </w:rPr>
        <w:t>E-találkozó, 2020.december 18.</w:t>
      </w:r>
    </w:p>
    <w:p>
      <w:pPr>
        <w:pStyle w:val="Normal"/>
        <w:jc w:val="left"/>
        <w:rPr>
          <w:rFonts w:ascii="Calibri-BoldItalic" w:hAnsi="Calibri-BoldItalic"/>
          <w:b/>
          <w:b/>
          <w:i/>
          <w:i/>
        </w:rPr>
      </w:pPr>
      <w:r>
        <w:rPr>
          <w:color w:val="000000"/>
          <w:sz w:val="24"/>
          <w:szCs w:val="24"/>
        </w:rPr>
      </w:r>
    </w:p>
    <w:p>
      <w:pPr>
        <w:pStyle w:val="Normal"/>
        <w:rPr>
          <w:rFonts w:ascii="Calibri-BoldItalic" w:hAnsi="Calibri-BoldItalic"/>
          <w:b/>
          <w:b/>
          <w:i/>
          <w:i/>
        </w:rPr>
      </w:pPr>
      <w:r>
        <w:rPr>
          <w:color w:val="000000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Calibri" w:hAnsi="Calibri"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Az EPBD fel</w:t>
      </w: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ülvizsgálata és kötelező minimumkövetelmények</w:t>
      </w:r>
    </w:p>
    <w:p>
      <w:pPr>
        <w:pStyle w:val="Normal"/>
        <w:jc w:val="left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javaslata:</w:t>
      </w:r>
    </w:p>
    <w:p>
      <w:pPr>
        <w:pStyle w:val="Normal"/>
        <w:numPr>
          <w:ilvl w:val="0"/>
          <w:numId w:val="12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Bizottság az épületek energiahatékonyságáról szóló irányelv (EPBD) felülvizsgálatának részeként 2021 végéig kötelező energiahatékonysági minimumkövetelményeket fog javasolni.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EBC üzenetek:</w:t>
      </w:r>
    </w:p>
    <w:p>
      <w:pPr>
        <w:pStyle w:val="Normal"/>
        <w:numPr>
          <w:ilvl w:val="0"/>
          <w:numId w:val="11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Arányos, kötelező energiahatékonysági minimumkövetelmények biztosítása, amelyeket előre meghatározott hosszú távú menetrenddel fokozatosan vezetnek be, és amelyeket az ingatlantulajdonosok számára elkülönített pénzügyi támogatás és finanszírozás kísér.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Calibri" w:hAnsi="Calibri"/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Energiateljesítmény-tanúsítványok</w:t>
      </w:r>
    </w:p>
    <w:p>
      <w:pPr>
        <w:pStyle w:val="Normal"/>
        <w:jc w:val="left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</w:t>
      </w:r>
    </w:p>
    <w:p>
      <w:pPr>
        <w:pStyle w:val="Normal"/>
        <w:numPr>
          <w:ilvl w:val="0"/>
          <w:numId w:val="10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</w:t>
      </w:r>
      <w:r>
        <w:rPr>
          <w:rFonts w:ascii="Calibri" w:hAnsi="Calibri"/>
          <w:i w:val="false"/>
          <w:iCs w:val="false"/>
          <w:color w:val="000000"/>
          <w:sz w:val="24"/>
          <w:szCs w:val="24"/>
        </w:rPr>
        <w:t xml:space="preserve"> Bizottság javaslatot tesz az energiateljesítmény-tanúsítványok keretének naprakésszé tételére, figyelembe véve a kialakulóban lévő energiateljesítmény-mérési technológiákat.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EBC üzenetek</w:t>
      </w:r>
    </w:p>
    <w:p>
      <w:pPr>
        <w:pStyle w:val="Normal"/>
        <w:numPr>
          <w:ilvl w:val="0"/>
          <w:numId w:val="9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Az energiateljesítmény-tanúsítványok minőségének javítása és megfizethetőségük biztosítása a kis bérbeadók és a kkv-k számára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Calibri" w:hAnsi="Calibri"/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A középületekre vonatkozó további felújítási követelmények</w:t>
      </w:r>
    </w:p>
    <w:p>
      <w:pPr>
        <w:pStyle w:val="Normal"/>
        <w:jc w:val="left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</w:t>
      </w:r>
    </w:p>
    <w:p>
      <w:pPr>
        <w:pStyle w:val="Normal"/>
        <w:numPr>
          <w:ilvl w:val="0"/>
          <w:numId w:val="8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Bizottság meg fogja vizsgálni, hogy szükség van-e a felújítási követelményeknek a középületekre történő kiterjesztésére valamennyi közigazgatási szinten.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EBC üzenetek</w:t>
      </w:r>
    </w:p>
    <w:p>
      <w:pPr>
        <w:pStyle w:val="Normal"/>
        <w:numPr>
          <w:ilvl w:val="0"/>
          <w:numId w:val="7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meglévő 3 %-os felújítási célkitűzést ki kell terjeszteni az összes közigazgatási szint tulajdonában lévő épületekre, azok méretétől függetlenül.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Calibri" w:hAnsi="Calibri"/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Körforgásos gazdaság: építési hulladékra vonatkozó célkitűzések</w:t>
      </w:r>
    </w:p>
    <w:p>
      <w:pPr>
        <w:pStyle w:val="Normal"/>
        <w:jc w:val="left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</w:t>
      </w:r>
    </w:p>
    <w:p>
      <w:pPr>
        <w:pStyle w:val="Normal"/>
        <w:numPr>
          <w:ilvl w:val="0"/>
          <w:numId w:val="6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Bizottság 2024 végéig felülvizsgálja az építési és bontási hulladékra vonatkozó uniós jogszabályokban meghatározott anyag-hasznosítási célokat.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EBC üzenetek</w:t>
      </w:r>
    </w:p>
    <w:p>
      <w:pPr>
        <w:pStyle w:val="Normal"/>
        <w:numPr>
          <w:ilvl w:val="0"/>
          <w:numId w:val="5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Az építési és bontási hulladékra vonatkozó anyag-visszanyerési célok további megerősítése előtt gondoskodni kell arról, hogy megfelelő számú újrahasznosító és gyűjtőközpont, illetve építőipari vállalkozásokhoz vagy üzemi létesítményekhez közeli csoportosító/tároló platformok álljanak rendelkezésre.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Calibri" w:hAnsi="Calibri"/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Körforgásos gazdaság: az újrahasznosítási piac fellendítése</w:t>
      </w:r>
    </w:p>
    <w:p>
      <w:pPr>
        <w:pStyle w:val="Normal"/>
        <w:jc w:val="left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</w:t>
      </w:r>
    </w:p>
    <w:p>
      <w:pPr>
        <w:pStyle w:val="Normal"/>
        <w:numPr>
          <w:ilvl w:val="0"/>
          <w:numId w:val="4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Bizottság intézkedéseket fog hozni az újrahasználati és újrafeldolgozási platformok növelésére, valamint a másodlagos nyersanyagok jól működő belső piacának támogatására.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EBC üzenetek</w:t>
      </w:r>
    </w:p>
    <w:p>
      <w:pPr>
        <w:pStyle w:val="Normal"/>
        <w:numPr>
          <w:ilvl w:val="0"/>
          <w:numId w:val="3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Pénzügyi támogatás nyújtása támogatások vagy adójóváírások keretében az újrahasznosított anyagok, valamint az újrafelhasznált és fenntartható termékek beszerzésének és felhasználásának támogatására.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</w:t>
      </w:r>
    </w:p>
    <w:p>
      <w:pPr>
        <w:pStyle w:val="Normal"/>
        <w:numPr>
          <w:ilvl w:val="0"/>
          <w:numId w:val="2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Bizottság intézkedéseket fog hozni az újrahasználati és újrafeldolgozási platformok növelésére, valamint a másodlagos nyersanyagok jól működő belső piacának támogatására.</w:t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numPr>
          <w:ilvl w:val="0"/>
          <w:numId w:val="13"/>
        </w:numPr>
        <w:rPr>
          <w:rFonts w:ascii="Calibri" w:hAnsi="Calibri"/>
          <w:b/>
          <w:b/>
          <w:i w:val="false"/>
          <w:i w:val="false"/>
          <w:iCs w:val="false"/>
          <w:color w:val="000000"/>
          <w:sz w:val="28"/>
          <w:szCs w:val="28"/>
        </w:rPr>
      </w:pPr>
      <w:r>
        <w:rPr>
          <w:rFonts w:ascii="Calibri" w:hAnsi="Calibri"/>
          <w:b/>
          <w:i w:val="false"/>
          <w:iCs w:val="false"/>
          <w:color w:val="000000"/>
          <w:sz w:val="28"/>
          <w:szCs w:val="28"/>
        </w:rPr>
        <w:t>Egyéb intézkedések (különálló álláspontok)</w:t>
      </w:r>
    </w:p>
    <w:p>
      <w:pPr>
        <w:pStyle w:val="Normal"/>
        <w:jc w:val="left"/>
        <w:rPr>
          <w:b/>
          <w:b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b/>
          <w:i w:val="false"/>
          <w:iCs w:val="false"/>
          <w:color w:val="000000"/>
          <w:sz w:val="24"/>
          <w:szCs w:val="24"/>
        </w:rPr>
        <w:t>A Bizottság javaslatai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Digitális épületnaplók és épületfelújítási útlevelek bevezetése</w:t>
      </w:r>
    </w:p>
    <w:p>
      <w:pPr>
        <w:pStyle w:val="Normal"/>
        <w:numPr>
          <w:ilvl w:val="0"/>
          <w:numId w:val="1"/>
        </w:numPr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Kapacitás növelése és technikai segítségnyújtás (egyablakos ügyintézés)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Az építőipari ágazat készség paktuma</w:t>
      </w:r>
    </w:p>
    <w:p>
      <w:pPr>
        <w:pStyle w:val="Normal"/>
        <w:numPr>
          <w:ilvl w:val="0"/>
          <w:numId w:val="1"/>
        </w:numPr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Az építési termékekről szóló rendelet felülvizsgálata (fenntarthatóság)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Iránymutatás a tagállamoknak a gazdaságélénkítési és ellenálló képességi tervek elkészítéséről</w:t>
      </w:r>
    </w:p>
    <w:p>
      <w:pPr>
        <w:pStyle w:val="Normal"/>
        <w:numPr>
          <w:ilvl w:val="0"/>
          <w:numId w:val="1"/>
        </w:numPr>
        <w:jc w:val="left"/>
        <w:rPr>
          <w:rFonts w:ascii="Calibri" w:hAnsi="Calibri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Calibri" w:hAnsi="Calibri"/>
          <w:i w:val="false"/>
          <w:iCs w:val="false"/>
          <w:color w:val="000000"/>
          <w:sz w:val="24"/>
          <w:szCs w:val="24"/>
        </w:rPr>
        <w:t>A digitális építés támogatása a Horizon Europe és a digitális innovációs központokon keresztül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Calibri-Bold">
    <w:charset w:val="ee"/>
    <w:family w:val="roman"/>
    <w:pitch w:val="variable"/>
  </w:font>
  <w:font w:name="Calibri-BoldItalic">
    <w:charset w:val="ee"/>
    <w:family w:val="roman"/>
    <w:pitch w:val="variable"/>
  </w:font>
  <w:font w:name="Calibri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hu-HU" w:eastAsia="zh-CN" w:bidi="hi-IN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Szmozsjelek">
    <w:name w:val="Számozásjel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Ari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LibreOffice/5.1.1.3$Windows_x86 LibreOffice_project/89f508ef3ecebd2cfb8e1def0f0ba9a803b88a6d</Application>
  <Pages>2</Pages>
  <Words>359</Words>
  <Characters>2797</Characters>
  <CharactersWithSpaces>3096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2021-01-22T14:32:25Z</dcterms:created>
  <dc:creator/>
  <dc:description/>
  <dc:language>hu-HU</dc:language>
  <cp:lastModifiedBy/>
  <dcterms:modified xsi:type="dcterms:W3CDTF">2021-01-22T14:51:55Z</dcterms:modified>
  <cp:revision>3</cp:revision>
  <dc:subject/>
  <dc:title/>
</cp:coreProperties>
</file>